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:lang w:val="zh-TW" w:eastAsia="zh-TW"/>
          <w14:textFill>
            <w14:solidFill>
              <w14:schemeClr w14:val="tx1"/>
            </w14:solidFill>
          </w14:textFill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000000" w:themeColor="text1"/>
          <w:kern w:val="0"/>
          <w:sz w:val="52"/>
          <w:szCs w:val="52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（201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年度）</w:t>
      </w: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jc w:val="center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540" w:lineRule="exact"/>
        <w:rPr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CN"/>
          <w14:textFill>
            <w14:solidFill>
              <w14:schemeClr w14:val="tx1"/>
            </w14:solidFill>
          </w14:textFill>
        </w:rPr>
        <w:t>食用农产品抽检项目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color w:val="000000" w:themeColor="text1"/>
          <w:w w:val="90"/>
          <w:kern w:val="0"/>
          <w:sz w:val="36"/>
          <w:szCs w:val="36"/>
          <w:lang w:val="zh-TW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实施单位（公章）：</w:t>
      </w:r>
      <w:r>
        <w:rPr>
          <w:rFonts w:hint="eastAsia" w:ascii="仿宋_GB2312" w:hAnsi="仿宋_GB2312" w:eastAsia="仿宋_GB2312" w:cs="仿宋_GB2312"/>
          <w:color w:val="000000" w:themeColor="text1"/>
          <w:w w:val="90"/>
          <w:kern w:val="0"/>
          <w:sz w:val="36"/>
          <w:szCs w:val="36"/>
          <w:lang w:val="zh-TW" w:eastAsia="zh-CN"/>
          <w14:textFill>
            <w14:solidFill>
              <w14:schemeClr w14:val="tx1"/>
            </w14:solidFill>
          </w14:textFill>
        </w:rPr>
        <w:t>英吉沙县食品药品监督管理局</w:t>
      </w:r>
    </w:p>
    <w:p>
      <w:pPr>
        <w:pStyle w:val="48"/>
        <w:spacing w:line="700" w:lineRule="exact"/>
        <w:ind w:firstLine="720" w:firstLineChars="200"/>
        <w:jc w:val="left"/>
        <w:rPr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主管部门（公章）：</w:t>
      </w:r>
      <w:r>
        <w:rPr>
          <w:rFonts w:hint="eastAsia" w:ascii="仿宋_GB2312" w:hAnsi="仿宋_GB2312" w:eastAsia="仿宋_GB2312" w:cs="仿宋_GB2312"/>
          <w:color w:val="000000" w:themeColor="text1"/>
          <w:w w:val="90"/>
          <w:kern w:val="0"/>
          <w:sz w:val="36"/>
          <w:szCs w:val="36"/>
          <w:lang w:val="zh-TW" w:eastAsia="zh-CN"/>
          <w14:textFill>
            <w14:solidFill>
              <w14:schemeClr w14:val="tx1"/>
            </w14:solidFill>
          </w14:textFill>
        </w:rPr>
        <w:t>英吉沙县食品药品监督管理局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eastAsia="仿宋_GB2312"/>
          <w:color w:val="000000" w:themeColor="text1"/>
          <w:kern w:val="0"/>
          <w:sz w:val="36"/>
          <w:szCs w:val="36"/>
          <w:lang w:val="zh-TW" w:eastAsia="zh-CN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项目负责人（签章）：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CN"/>
          <w14:textFill>
            <w14:solidFill>
              <w14:schemeClr w14:val="tx1"/>
            </w14:solidFill>
          </w14:textFill>
        </w:rPr>
        <w:t>马丽华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/>
          <w14:textFill>
            <w14:solidFill>
              <w14:schemeClr w14:val="tx1"/>
            </w14:solidFill>
          </w14:textFill>
        </w:rPr>
      </w:pP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填报时间：201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年1月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ascii="仿宋_GB2312" w:hAnsi="仿宋_GB2312" w:eastAsia="仿宋_GB2312" w:cs="仿宋_GB2312"/>
          <w:color w:val="000000" w:themeColor="text1"/>
          <w:kern w:val="0"/>
          <w:sz w:val="36"/>
          <w:szCs w:val="36"/>
          <w:lang w:val="zh-TW" w:eastAsia="zh-TW"/>
          <w14:textFill>
            <w14:solidFill>
              <w14:schemeClr w14:val="tx1"/>
            </w14:solidFill>
          </w14:textFill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宋体" w:hAnsi="宋体" w:eastAsia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（一）项目单位基本情况</w:t>
      </w:r>
    </w:p>
    <w:p>
      <w:pPr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英吉沙县食品药品监督管理局根据中共喀什地委办公室、喀什地区行署办公室《关于印发〈英吉沙县人民政府机构改革方案〉的通知》（喀党办发[2011]52号）规定，主要职责是: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、贯彻执行国家有关食品（含食品添加剂、保健食品，下同）安全、药品（含中药、民族药，下同）、医疗器械、化妆品监督管理的方针政策和法律法规；负责本部门依法行政工作，落实行政执法责任制；制定全县食品安全、药品、医疗器械、化妆品监督管理规划，推动建立落实食品、药品、医疗器械、化妆品安全企业主体责任和县、乡镇人民政府分级负责机制，建立食品药品重大信息直报制度，并组织实施和监督检查，着力防范区域性、系统性食品药品安全风险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2、负责全县食品药品行政审批的监督实施。建立食品药品安全隐患排查治理机制，制定全县食品药品安全检查年度计划、重大整顿治理方案并组织落实。负责建立食品药品安全信息统一公布制度，公布食品药品安全信息。   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3、监督实施全县药品和医疗器械的标准、分类管理制度，监督实施药品和医疗器械的经营、使用等质量管理规范。监督实施医疗机构制剂生产（配制）质量管理规范，监督检查药品和医疗器械的注册工作。监督实施化妆品监督管理办法。配合相关部门实施国家基本药物制度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4、组织实施食品、药品、医疗器械、化妆品监督管理稽查制度，组织查处违法行为。负责不安全食品和存在安全隐患的药品、医疗器械、化妆品召回的监督管理。依法监测食品、药品、医疗器械、化妆品广告内容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5、负责食品、药品、医疗器械、化妆品安全事故应急体系建设。组织和指导食品、药品、医疗器械、化妆品安全事故应急处置和调查处理工作，监督事故查处落实情况。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6、负责制定食品、药品、医疗器械、化妆品安全科技发展规划并组织实施，推动食品药品检验检测体系、电子监管追溯体系和信息化建设。制定全县食品药品抽检计划并组织实施。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7、负责开展食品、药品、医疗器械、化妆品安全宣传、教育培训与交流合作。推进诚信体系建设。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8、指导各镇食品药品监督管理工作，规范行政执法行为，完善行政执法与刑事司法衔接机制。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9、承担县食品药品安全委员会日常工作。负责食品药品安全监督管理综合协调，推动健全协调联动机制，组织查处食品药品安全重大事故；督促检查各镇人民政府、县级相关部门履行食品药品安全监督管理职责并负责考核评价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320" w:firstLineChars="10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 xml:space="preserve"> 10、履行廉政建设职责，执行廉政建设责任制的各项规定。明晰职权，防控廉政风险，建立行政权力公开透明的运行机制，推进廉政建设的标准化、规范化、制度化。</w:t>
      </w:r>
    </w:p>
    <w:p>
      <w:pPr>
        <w:widowControl/>
        <w:shd w:val="clear" w:color="auto" w:fill="FFFFFF"/>
        <w:adjustRightInd w:val="0"/>
        <w:snapToGrid w:val="0"/>
        <w:spacing w:line="600" w:lineRule="exact"/>
        <w:ind w:firstLine="480" w:firstLineChars="150"/>
        <w:jc w:val="left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11、承办县政府以及县食品药品安全委员会交办的其他事项。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（二）项目预算</w:t>
      </w:r>
      <w:r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绩效目标</w:t>
      </w: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1、项目预期目标及阶段性目标</w:t>
      </w:r>
    </w:p>
    <w:p>
      <w:pPr>
        <w:widowControl/>
        <w:spacing w:line="360" w:lineRule="auto"/>
        <w:ind w:firstLine="716" w:firstLineChars="224"/>
        <w:jc w:val="left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强化我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县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食品药品管理处置能力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，着重解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决各乡镇食用农产品批发市场、超市、菜市场零售摊位销售的食用农产品安全违法犯罪行为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2、项目基本性质</w:t>
      </w:r>
    </w:p>
    <w:p>
      <w:pPr>
        <w:adjustRightInd w:val="0"/>
        <w:snapToGrid w:val="0"/>
        <w:spacing w:line="560" w:lineRule="exact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该项目为延续性项目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主要用于公共卫生方面的食用农产品抽检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zh-TW" w:eastAsia="zh-CN"/>
          <w14:textFill>
            <w14:solidFill>
              <w14:schemeClr w14:val="tx1"/>
            </w14:solidFill>
          </w14:textFill>
        </w:rPr>
        <w:t>食用农产品抽检项目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7.46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7.46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万元，自筹资金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万元，201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年实际收到预算资金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7.46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7.46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万元，预算执行率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项目资金主要用于支付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食用农产品抽检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费用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7.46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英吉沙县食品药品监督管理局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（一）项目组织情况分析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根据《中华人民共和国食品安全法》和《食品安全抽样检验管理办法》的规定，对辖区范围内生产经营的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97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批次食用农产品进行了监督抽检。其中，食品抽检合格的样品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97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批次，合格率为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%。助力地方经济，造福区域百姓，对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保护百姓生命健康、维护群众利益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、维护社会安全，起到了举足轻重的作用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是一项人民满意的项目。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楷体" w:hAnsi="楷体" w:eastAsia="楷体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英吉沙县食品药品监督管理局在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实施过程中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遵守相关法律法规和业务管理规定，项目资料齐全并及时归档。不定期对项目进度情况进行督导检查，对检查过程中发现的问题及时督促整改，确保了项目按时保质完成。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（1）、项目完成数量效益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指标1：食用农产品抽检率100%；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（2）、项目完成时效质量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指标1：食用农产品抽检完成率100%。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效益指标情况分析。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项目经济效益：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食品药品监督专项资金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、项目社会效益：为人民群众提供安全饮食服务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（3）、满意度指标情况分析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食品经营企业、餐饮单位对食用农产品抽检机构工作服务能力建设的满意度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1、主要经验及做法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：跟上级部门协商，以跟标形式实施开展的有效落实。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2、存在的问题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3、建议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重大公共卫生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项目资金的使用效率和效果，项目管理过程是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规范，完成了预期绩效目标。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黑体" w:hAnsi="黑体" w:eastAsia="黑体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  <w14:textFill>
            <w14:solidFill>
              <w14:schemeClr w14:val="tx1"/>
            </w14:solidFill>
          </w14:textFill>
        </w:rPr>
        <w:t>《项目支出绩效目标自评表》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1A584EB7"/>
    <w:rsid w:val="48CF075D"/>
    <w:rsid w:val="543E0321"/>
    <w:rsid w:val="5FED5C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2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2019-09-11T04:52:15Z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